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6FFFE" w14:textId="77777777" w:rsidR="00792DC5" w:rsidRDefault="00792DC5" w:rsidP="00792DC5">
      <w:pPr>
        <w:jc w:val="center"/>
        <w:rPr>
          <w:rFonts w:ascii="Gill Sans MT" w:hAnsi="Gill Sans MT" w:cs="Calibri"/>
          <w:b/>
          <w:bCs/>
          <w:color w:val="657C9C" w:themeColor="text2" w:themeTint="BF"/>
          <w:sz w:val="32"/>
          <w:szCs w:val="32"/>
        </w:rPr>
      </w:pPr>
      <w:r w:rsidRPr="00792DC5">
        <w:rPr>
          <w:rFonts w:ascii="Gill Sans MT" w:hAnsi="Gill Sans MT" w:cs="Calibri"/>
          <w:b/>
          <w:bCs/>
          <w:color w:val="657C9C" w:themeColor="text2" w:themeTint="BF"/>
          <w:sz w:val="32"/>
          <w:szCs w:val="32"/>
        </w:rPr>
        <w:t xml:space="preserve">Keeping Children Safe </w:t>
      </w:r>
      <w:proofErr w:type="gramStart"/>
      <w:r w:rsidRPr="00792DC5">
        <w:rPr>
          <w:rFonts w:ascii="Gill Sans MT" w:hAnsi="Gill Sans MT" w:cs="Calibri"/>
          <w:b/>
          <w:bCs/>
          <w:color w:val="657C9C" w:themeColor="text2" w:themeTint="BF"/>
          <w:sz w:val="32"/>
          <w:szCs w:val="32"/>
        </w:rPr>
        <w:t>In</w:t>
      </w:r>
      <w:proofErr w:type="gramEnd"/>
      <w:r w:rsidRPr="00792DC5">
        <w:rPr>
          <w:rFonts w:ascii="Gill Sans MT" w:hAnsi="Gill Sans MT" w:cs="Calibri"/>
          <w:b/>
          <w:bCs/>
          <w:color w:val="657C9C" w:themeColor="text2" w:themeTint="BF"/>
          <w:sz w:val="32"/>
          <w:szCs w:val="32"/>
        </w:rPr>
        <w:t xml:space="preserve"> Education (KCSIE) September 2024 Briefing</w:t>
      </w:r>
    </w:p>
    <w:p w14:paraId="3F3D68B9" w14:textId="77777777" w:rsidR="00792DC5" w:rsidRPr="00792DC5" w:rsidRDefault="00792DC5" w:rsidP="00792DC5">
      <w:pPr>
        <w:jc w:val="center"/>
        <w:rPr>
          <w:rFonts w:ascii="Gill Sans MT" w:hAnsi="Gill Sans MT" w:cs="Calibri"/>
          <w:b/>
          <w:bCs/>
          <w:color w:val="657C9C" w:themeColor="text2" w:themeTint="BF"/>
          <w:sz w:val="32"/>
          <w:szCs w:val="32"/>
        </w:rPr>
      </w:pPr>
    </w:p>
    <w:tbl>
      <w:tblPr>
        <w:tblStyle w:val="TableGrid"/>
        <w:tblW w:w="0" w:type="auto"/>
        <w:tblLook w:val="04A0" w:firstRow="1" w:lastRow="0" w:firstColumn="1" w:lastColumn="0" w:noHBand="0" w:noVBand="1"/>
      </w:tblPr>
      <w:tblGrid>
        <w:gridCol w:w="9016"/>
      </w:tblGrid>
      <w:tr w:rsidR="00792DC5" w:rsidRPr="00792DC5" w14:paraId="38B06495" w14:textId="77777777" w:rsidTr="002B056C">
        <w:tc>
          <w:tcPr>
            <w:tcW w:w="10456" w:type="dxa"/>
          </w:tcPr>
          <w:p w14:paraId="4CF76CE5" w14:textId="77777777" w:rsidR="00792DC5" w:rsidRPr="00792DC5" w:rsidRDefault="00792DC5" w:rsidP="002B056C">
            <w:pPr>
              <w:rPr>
                <w:rFonts w:ascii="Gill Sans MT" w:hAnsi="Gill Sans MT" w:cs="Calibri"/>
              </w:rPr>
            </w:pPr>
            <w:r w:rsidRPr="00792DC5">
              <w:rPr>
                <w:rFonts w:ascii="Gill Sans MT" w:hAnsi="Gill Sans MT" w:cs="Calibri"/>
                <w:noProof/>
              </w:rPr>
              <w:drawing>
                <wp:anchor distT="0" distB="0" distL="114300" distR="114300" simplePos="0" relativeHeight="251659264" behindDoc="0" locked="0" layoutInCell="1" allowOverlap="1" wp14:anchorId="364B2FB0" wp14:editId="0053ABD9">
                  <wp:simplePos x="0" y="0"/>
                  <wp:positionH relativeFrom="margin">
                    <wp:posOffset>22860</wp:posOffset>
                  </wp:positionH>
                  <wp:positionV relativeFrom="paragraph">
                    <wp:posOffset>12065</wp:posOffset>
                  </wp:positionV>
                  <wp:extent cx="1394460" cy="2012315"/>
                  <wp:effectExtent l="0" t="0" r="0" b="6985"/>
                  <wp:wrapSquare wrapText="bothSides"/>
                  <wp:docPr id="81375606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24733" name="Picture 1" descr="A screenshot of a computer&#10;&#10;Description automatically generated"/>
                          <pic:cNvPicPr/>
                        </pic:nvPicPr>
                        <pic:blipFill rotWithShape="1">
                          <a:blip r:embed="rId7" cstate="print">
                            <a:extLst>
                              <a:ext uri="{28A0092B-C50C-407E-A947-70E740481C1C}">
                                <a14:useLocalDpi xmlns:a14="http://schemas.microsoft.com/office/drawing/2010/main" val="0"/>
                              </a:ext>
                            </a:extLst>
                          </a:blip>
                          <a:srcRect l="34875" t="11563" r="35974" b="23388"/>
                          <a:stretch/>
                        </pic:blipFill>
                        <pic:spPr bwMode="auto">
                          <a:xfrm>
                            <a:off x="0" y="0"/>
                            <a:ext cx="1394460" cy="2012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2DC5">
              <w:rPr>
                <w:rFonts w:ascii="Gill Sans MT" w:hAnsi="Gill Sans MT" w:cs="Calibri"/>
              </w:rPr>
              <w:t xml:space="preserve">Keeping Children Safe in Education is Statutory guidance.  For the purposes of this guidance, children </w:t>
            </w:r>
            <w:proofErr w:type="gramStart"/>
            <w:r w:rsidRPr="00792DC5">
              <w:rPr>
                <w:rFonts w:ascii="Gill Sans MT" w:hAnsi="Gill Sans MT" w:cs="Calibri"/>
              </w:rPr>
              <w:t>includes</w:t>
            </w:r>
            <w:proofErr w:type="gramEnd"/>
            <w:r w:rsidRPr="00792DC5">
              <w:rPr>
                <w:rFonts w:ascii="Gill Sans MT" w:hAnsi="Gill Sans MT" w:cs="Calibri"/>
              </w:rPr>
              <w:t xml:space="preserve"> </w:t>
            </w:r>
            <w:r w:rsidRPr="00792DC5">
              <w:rPr>
                <w:rFonts w:ascii="Gill Sans MT" w:hAnsi="Gill Sans MT" w:cs="Calibri"/>
                <w:b/>
                <w:bCs/>
              </w:rPr>
              <w:t>everyone under the age of 18.</w:t>
            </w:r>
            <w:r w:rsidRPr="00792DC5">
              <w:rPr>
                <w:rFonts w:ascii="Gill Sans MT" w:hAnsi="Gill Sans MT" w:cs="Calibri"/>
              </w:rPr>
              <w:t xml:space="preserve"> Everyone working directly with children are expected to read at least part 1 of KCSIE and Annex B. </w:t>
            </w:r>
            <w:r w:rsidRPr="00792DC5">
              <w:rPr>
                <w:rFonts w:ascii="Gill Sans MT" w:hAnsi="Gill Sans MT" w:cs="Calibri"/>
              </w:rPr>
              <w:tab/>
            </w:r>
          </w:p>
          <w:p w14:paraId="4B195AD1" w14:textId="77777777" w:rsidR="00792DC5" w:rsidRPr="00792DC5" w:rsidRDefault="00792DC5" w:rsidP="002B056C">
            <w:pPr>
              <w:rPr>
                <w:rFonts w:ascii="Gill Sans MT" w:hAnsi="Gill Sans MT" w:cs="Calibri"/>
              </w:rPr>
            </w:pPr>
          </w:p>
          <w:p w14:paraId="26BDE4A9" w14:textId="77777777" w:rsidR="00792DC5" w:rsidRPr="00792DC5" w:rsidRDefault="00792DC5" w:rsidP="002B056C">
            <w:pPr>
              <w:spacing w:line="278" w:lineRule="auto"/>
              <w:rPr>
                <w:rFonts w:ascii="Gill Sans MT" w:hAnsi="Gill Sans MT" w:cs="Calibri"/>
                <w:b/>
                <w:bCs/>
                <w:color w:val="657C9C" w:themeColor="text2" w:themeTint="BF"/>
                <w:sz w:val="28"/>
                <w:szCs w:val="28"/>
              </w:rPr>
            </w:pPr>
            <w:r w:rsidRPr="00792DC5">
              <w:rPr>
                <w:rFonts w:ascii="Gill Sans MT" w:hAnsi="Gill Sans MT" w:cs="Calibri"/>
                <w:b/>
                <w:bCs/>
                <w:color w:val="657C9C" w:themeColor="text2" w:themeTint="BF"/>
                <w:sz w:val="28"/>
                <w:szCs w:val="28"/>
              </w:rPr>
              <w:t xml:space="preserve">Brief Summary </w:t>
            </w:r>
            <w:proofErr w:type="gramStart"/>
            <w:r w:rsidRPr="00792DC5">
              <w:rPr>
                <w:rFonts w:ascii="Gill Sans MT" w:hAnsi="Gill Sans MT" w:cs="Calibri"/>
                <w:b/>
                <w:bCs/>
                <w:color w:val="657C9C" w:themeColor="text2" w:themeTint="BF"/>
                <w:sz w:val="28"/>
                <w:szCs w:val="28"/>
              </w:rPr>
              <w:t>Of</w:t>
            </w:r>
            <w:proofErr w:type="gramEnd"/>
            <w:r w:rsidRPr="00792DC5">
              <w:rPr>
                <w:rFonts w:ascii="Gill Sans MT" w:hAnsi="Gill Sans MT" w:cs="Calibri"/>
                <w:b/>
                <w:bCs/>
                <w:color w:val="657C9C" w:themeColor="text2" w:themeTint="BF"/>
                <w:sz w:val="28"/>
                <w:szCs w:val="28"/>
              </w:rPr>
              <w:t xml:space="preserve"> Changes</w:t>
            </w:r>
          </w:p>
          <w:p w14:paraId="5DF9EDFA" w14:textId="77777777" w:rsidR="00792DC5" w:rsidRPr="00792DC5" w:rsidRDefault="00792DC5" w:rsidP="002B056C">
            <w:pPr>
              <w:rPr>
                <w:rFonts w:ascii="Gill Sans MT" w:hAnsi="Gill Sans MT" w:cs="Calibri"/>
              </w:rPr>
            </w:pPr>
            <w:r w:rsidRPr="00792DC5">
              <w:rPr>
                <w:rFonts w:ascii="Gill Sans MT" w:hAnsi="Gill Sans MT" w:cs="Calibri"/>
                <w:b/>
                <w:bCs/>
              </w:rPr>
              <w:t xml:space="preserve">There are relatively few changes this year (2024) but of particular importance is an amendment to the definition of ‘safeguarding and promoting the welfare of children.’ </w:t>
            </w:r>
            <w:r w:rsidRPr="00792DC5">
              <w:rPr>
                <w:rFonts w:ascii="Gill Sans MT" w:hAnsi="Gill Sans MT" w:cs="Calibri"/>
              </w:rPr>
              <w:t xml:space="preserve">The </w:t>
            </w:r>
            <w:r w:rsidRPr="00792DC5">
              <w:rPr>
                <w:rFonts w:ascii="Gill Sans MT" w:hAnsi="Gill Sans MT" w:cs="Calibri"/>
                <w:b/>
                <w:bCs/>
              </w:rPr>
              <w:t>definition of safeguarding</w:t>
            </w:r>
            <w:r w:rsidRPr="00792DC5">
              <w:rPr>
                <w:rFonts w:ascii="Gill Sans MT" w:hAnsi="Gill Sans MT" w:cs="Calibri"/>
              </w:rPr>
              <w:t xml:space="preserve"> has been amended to reflect the changes made in Working Together to Safeguard Children (2023).  Paragraph 3 now states “Safeguarding and promoting the welfare of children is defined for the purposes of this guidance as:</w:t>
            </w:r>
          </w:p>
          <w:p w14:paraId="582B6DB4" w14:textId="77777777" w:rsidR="00792DC5" w:rsidRPr="00792DC5" w:rsidRDefault="00792DC5" w:rsidP="002B056C">
            <w:pPr>
              <w:rPr>
                <w:rFonts w:ascii="Gill Sans MT" w:hAnsi="Gill Sans MT" w:cs="Calibri"/>
              </w:rPr>
            </w:pPr>
            <w:r w:rsidRPr="00792DC5">
              <w:rPr>
                <w:rFonts w:ascii="Gill Sans MT" w:hAnsi="Gill Sans MT" w:cs="Calibri"/>
              </w:rPr>
              <w:t xml:space="preserve"> </w:t>
            </w:r>
            <w:r w:rsidRPr="00792DC5">
              <w:rPr>
                <w:rFonts w:ascii="Gill Sans MT" w:hAnsi="Gill Sans MT" w:cs="Calibri"/>
              </w:rPr>
              <w:sym w:font="Symbol" w:char="F0B7"/>
            </w:r>
            <w:r w:rsidRPr="00792DC5">
              <w:rPr>
                <w:rFonts w:ascii="Gill Sans MT" w:hAnsi="Gill Sans MT" w:cs="Calibri"/>
              </w:rPr>
              <w:t xml:space="preserve"> </w:t>
            </w:r>
            <w:r w:rsidRPr="00792DC5">
              <w:rPr>
                <w:rFonts w:ascii="Gill Sans MT" w:hAnsi="Gill Sans MT" w:cs="Calibri"/>
                <w:b/>
                <w:bCs/>
              </w:rPr>
              <w:t xml:space="preserve">providing help and support to meet the needs of children </w:t>
            </w:r>
            <w:r w:rsidRPr="00792DC5">
              <w:rPr>
                <w:rFonts w:ascii="Gill Sans MT" w:hAnsi="Gill Sans MT" w:cs="Calibri"/>
                <w:b/>
                <w:bCs/>
                <w:i/>
                <w:iCs/>
              </w:rPr>
              <w:t>as soon as problems emerge</w:t>
            </w:r>
          </w:p>
          <w:p w14:paraId="151C8316" w14:textId="77777777" w:rsidR="00792DC5" w:rsidRPr="00792DC5" w:rsidRDefault="00792DC5" w:rsidP="002B056C">
            <w:pPr>
              <w:rPr>
                <w:rFonts w:ascii="Gill Sans MT" w:hAnsi="Gill Sans MT" w:cs="Calibri"/>
              </w:rPr>
            </w:pPr>
            <w:r w:rsidRPr="00792DC5">
              <w:rPr>
                <w:rFonts w:ascii="Gill Sans MT" w:hAnsi="Gill Sans MT" w:cs="Calibri"/>
              </w:rPr>
              <w:t xml:space="preserve"> </w:t>
            </w:r>
            <w:r w:rsidRPr="00792DC5">
              <w:rPr>
                <w:rFonts w:ascii="Gill Sans MT" w:hAnsi="Gill Sans MT" w:cs="Calibri"/>
              </w:rPr>
              <w:sym w:font="Symbol" w:char="F0B7"/>
            </w:r>
            <w:r w:rsidRPr="00792DC5">
              <w:rPr>
                <w:rFonts w:ascii="Gill Sans MT" w:hAnsi="Gill Sans MT" w:cs="Calibri"/>
              </w:rPr>
              <w:t xml:space="preserve"> protecting children from maltreatment, </w:t>
            </w:r>
            <w:r w:rsidRPr="00792DC5">
              <w:rPr>
                <w:rFonts w:ascii="Gill Sans MT" w:hAnsi="Gill Sans MT" w:cs="Calibri"/>
                <w:b/>
                <w:bCs/>
              </w:rPr>
              <w:t>whether that is within or outside the home, including online</w:t>
            </w:r>
          </w:p>
          <w:p w14:paraId="01DD9DAA" w14:textId="77777777" w:rsidR="00792DC5" w:rsidRPr="00792DC5" w:rsidRDefault="00792DC5" w:rsidP="002B056C">
            <w:pPr>
              <w:rPr>
                <w:rFonts w:ascii="Gill Sans MT" w:hAnsi="Gill Sans MT" w:cs="Calibri"/>
              </w:rPr>
            </w:pPr>
            <w:r w:rsidRPr="00792DC5">
              <w:rPr>
                <w:rFonts w:ascii="Gill Sans MT" w:hAnsi="Gill Sans MT" w:cs="Calibri"/>
              </w:rPr>
              <w:t xml:space="preserve"> </w:t>
            </w:r>
            <w:r w:rsidRPr="00792DC5">
              <w:rPr>
                <w:rFonts w:ascii="Gill Sans MT" w:hAnsi="Gill Sans MT" w:cs="Calibri"/>
              </w:rPr>
              <w:sym w:font="Symbol" w:char="F0B7"/>
            </w:r>
            <w:r w:rsidRPr="00792DC5">
              <w:rPr>
                <w:rFonts w:ascii="Gill Sans MT" w:hAnsi="Gill Sans MT" w:cs="Calibri"/>
              </w:rPr>
              <w:t xml:space="preserve"> preventing the impairment of children’s mental and physical health or development </w:t>
            </w:r>
          </w:p>
          <w:p w14:paraId="2DF63EDA" w14:textId="77777777" w:rsidR="00792DC5" w:rsidRPr="00792DC5" w:rsidRDefault="00792DC5" w:rsidP="002B056C">
            <w:pPr>
              <w:rPr>
                <w:rFonts w:ascii="Gill Sans MT" w:hAnsi="Gill Sans MT" w:cs="Calibri"/>
              </w:rPr>
            </w:pPr>
            <w:r w:rsidRPr="00792DC5">
              <w:rPr>
                <w:rFonts w:ascii="Gill Sans MT" w:hAnsi="Gill Sans MT" w:cs="Calibri"/>
              </w:rPr>
              <w:sym w:font="Symbol" w:char="F0B7"/>
            </w:r>
            <w:r w:rsidRPr="00792DC5">
              <w:rPr>
                <w:rFonts w:ascii="Gill Sans MT" w:hAnsi="Gill Sans MT" w:cs="Calibri"/>
              </w:rPr>
              <w:t xml:space="preserve"> ensuring that children grow up in circumstances consistent with the provision of safe and effective care </w:t>
            </w:r>
          </w:p>
          <w:p w14:paraId="5AD5FE99" w14:textId="77777777" w:rsidR="00792DC5" w:rsidRPr="00792DC5" w:rsidRDefault="00792DC5" w:rsidP="002B056C">
            <w:pPr>
              <w:rPr>
                <w:rFonts w:ascii="Gill Sans MT" w:hAnsi="Gill Sans MT" w:cs="Calibri"/>
              </w:rPr>
            </w:pPr>
            <w:r w:rsidRPr="00792DC5">
              <w:rPr>
                <w:rFonts w:ascii="Gill Sans MT" w:hAnsi="Gill Sans MT" w:cs="Calibri"/>
              </w:rPr>
              <w:sym w:font="Symbol" w:char="F0B7"/>
            </w:r>
            <w:r w:rsidRPr="00792DC5">
              <w:rPr>
                <w:rFonts w:ascii="Gill Sans MT" w:hAnsi="Gill Sans MT" w:cs="Calibri"/>
              </w:rPr>
              <w:t xml:space="preserve"> taking action to enable all children to have the best outcomes.</w:t>
            </w:r>
          </w:p>
          <w:p w14:paraId="5E951669" w14:textId="77777777" w:rsidR="00792DC5" w:rsidRPr="00792DC5" w:rsidRDefault="00792DC5" w:rsidP="002B056C">
            <w:pPr>
              <w:rPr>
                <w:rFonts w:ascii="Gill Sans MT" w:hAnsi="Gill Sans MT" w:cs="Calibri"/>
                <w:sz w:val="16"/>
                <w:szCs w:val="16"/>
              </w:rPr>
            </w:pPr>
          </w:p>
          <w:p w14:paraId="1889AA64" w14:textId="77777777" w:rsidR="00792DC5" w:rsidRPr="00792DC5" w:rsidRDefault="00792DC5" w:rsidP="002B056C">
            <w:pPr>
              <w:rPr>
                <w:rFonts w:ascii="Gill Sans MT" w:hAnsi="Gill Sans MT" w:cs="Calibri"/>
                <w:b/>
                <w:bCs/>
              </w:rPr>
            </w:pPr>
            <w:r w:rsidRPr="00792DC5">
              <w:rPr>
                <w:rFonts w:ascii="Gill Sans MT" w:hAnsi="Gill Sans MT" w:cs="Calibri"/>
                <w:b/>
                <w:bCs/>
              </w:rPr>
              <w:t>Early Help</w:t>
            </w:r>
          </w:p>
          <w:p w14:paraId="745A758C" w14:textId="77777777" w:rsidR="00792DC5" w:rsidRPr="00792DC5" w:rsidRDefault="00792DC5" w:rsidP="00792DC5">
            <w:pPr>
              <w:pStyle w:val="ListParagraph"/>
              <w:numPr>
                <w:ilvl w:val="0"/>
                <w:numId w:val="1"/>
              </w:numPr>
              <w:spacing w:after="0" w:line="240" w:lineRule="auto"/>
              <w:rPr>
                <w:rFonts w:ascii="Gill Sans MT" w:hAnsi="Gill Sans MT" w:cs="Calibri"/>
              </w:rPr>
            </w:pPr>
            <w:r w:rsidRPr="00792DC5">
              <w:rPr>
                <w:rFonts w:ascii="Gill Sans MT" w:hAnsi="Gill Sans MT" w:cs="Calibri"/>
              </w:rPr>
              <w:t xml:space="preserve">Paragraph 18 has been amended to add that everyone should be alert to the potential need for Early Help for pupils who have “experienced multiple suspensions, [are] at risk of being permanently excluded from schools, colleges and in Alternative Provision or a Pupil Referral Unit.” </w:t>
            </w:r>
          </w:p>
          <w:p w14:paraId="4D5C770A" w14:textId="77777777" w:rsidR="00792DC5" w:rsidRPr="00792DC5" w:rsidRDefault="00792DC5" w:rsidP="00792DC5">
            <w:pPr>
              <w:pStyle w:val="ListParagraph"/>
              <w:numPr>
                <w:ilvl w:val="0"/>
                <w:numId w:val="1"/>
              </w:numPr>
              <w:spacing w:after="0" w:line="240" w:lineRule="auto"/>
              <w:rPr>
                <w:rFonts w:ascii="Gill Sans MT" w:hAnsi="Gill Sans MT" w:cs="Calibri"/>
                <w:i/>
                <w:iCs/>
              </w:rPr>
            </w:pPr>
            <w:r w:rsidRPr="00792DC5">
              <w:rPr>
                <w:rFonts w:ascii="Gill Sans MT" w:hAnsi="Gill Sans MT" w:cs="Calibri"/>
              </w:rPr>
              <w:t>In Part Five where options to manage reports of child-on-child sexual violence and/or sexual harassment are discussed, paragraph 497 has been amended to include the importance of Early Help at any stage in a child’s life. It states</w:t>
            </w:r>
            <w:r w:rsidRPr="00792DC5">
              <w:rPr>
                <w:rFonts w:ascii="Gill Sans MT" w:hAnsi="Gill Sans MT" w:cs="Calibri"/>
                <w:i/>
                <w:iCs/>
              </w:rPr>
              <w:t>, “Early Help is support for children of all ages that improves a family’s resilience and outcomes or reduces the chance of a problem getting worse.”</w:t>
            </w:r>
          </w:p>
          <w:p w14:paraId="6F4FAC26" w14:textId="77777777" w:rsidR="00792DC5" w:rsidRPr="00792DC5" w:rsidRDefault="00792DC5" w:rsidP="002B056C">
            <w:pPr>
              <w:rPr>
                <w:rFonts w:ascii="Gill Sans MT" w:hAnsi="Gill Sans MT" w:cs="Calibri"/>
                <w:b/>
                <w:bCs/>
              </w:rPr>
            </w:pPr>
            <w:r w:rsidRPr="00792DC5">
              <w:rPr>
                <w:rFonts w:ascii="Gill Sans MT" w:hAnsi="Gill Sans MT" w:cs="Calibri"/>
                <w:b/>
                <w:bCs/>
              </w:rPr>
              <w:t xml:space="preserve">If you are concerned about a </w:t>
            </w:r>
            <w:proofErr w:type="gramStart"/>
            <w:r w:rsidRPr="00792DC5">
              <w:rPr>
                <w:rFonts w:ascii="Gill Sans MT" w:hAnsi="Gill Sans MT" w:cs="Calibri"/>
                <w:b/>
                <w:bCs/>
              </w:rPr>
              <w:t>family</w:t>
            </w:r>
            <w:proofErr w:type="gramEnd"/>
            <w:r w:rsidRPr="00792DC5">
              <w:rPr>
                <w:rFonts w:ascii="Gill Sans MT" w:hAnsi="Gill Sans MT" w:cs="Calibri"/>
                <w:b/>
                <w:bCs/>
              </w:rPr>
              <w:t xml:space="preserve"> please speak to your Area Advisor. Early Help can include, for example, an Area Advisor speaking to a family and encouraging them to see a doctor or signposting them to an agency who might be able to help them. </w:t>
            </w:r>
          </w:p>
          <w:p w14:paraId="5E8C0EC3" w14:textId="77777777" w:rsidR="00792DC5" w:rsidRPr="00792DC5" w:rsidRDefault="00792DC5" w:rsidP="002B056C">
            <w:pPr>
              <w:rPr>
                <w:rFonts w:ascii="Gill Sans MT" w:hAnsi="Gill Sans MT" w:cs="Calibri"/>
                <w:sz w:val="16"/>
                <w:szCs w:val="16"/>
              </w:rPr>
            </w:pPr>
          </w:p>
          <w:p w14:paraId="3E1F2A54" w14:textId="77777777" w:rsidR="00792DC5" w:rsidRPr="00792DC5" w:rsidRDefault="00792DC5" w:rsidP="002B056C">
            <w:pPr>
              <w:rPr>
                <w:rFonts w:ascii="Gill Sans MT" w:hAnsi="Gill Sans MT" w:cs="Calibri"/>
                <w:b/>
                <w:bCs/>
              </w:rPr>
            </w:pPr>
            <w:r w:rsidRPr="00792DC5">
              <w:rPr>
                <w:rFonts w:ascii="Gill Sans MT" w:hAnsi="Gill Sans MT" w:cs="Calibri"/>
                <w:b/>
                <w:bCs/>
              </w:rPr>
              <w:t>Children and the court system</w:t>
            </w:r>
          </w:p>
          <w:p w14:paraId="4CA7AA0A" w14:textId="77777777" w:rsidR="00792DC5" w:rsidRPr="00792DC5" w:rsidRDefault="00792DC5" w:rsidP="002B056C">
            <w:pPr>
              <w:rPr>
                <w:rFonts w:ascii="Gill Sans MT" w:hAnsi="Gill Sans MT" w:cs="Calibri"/>
              </w:rPr>
            </w:pPr>
            <w:r w:rsidRPr="00792DC5">
              <w:rPr>
                <w:rFonts w:ascii="Gill Sans MT" w:hAnsi="Gill Sans MT" w:cs="Calibri"/>
                <w:b/>
                <w:bCs/>
              </w:rPr>
              <w:lastRenderedPageBreak/>
              <w:t>In Annex B, links to two age-appropriate guides have been included to support children who are required to give evidence in court.</w:t>
            </w:r>
            <w:r w:rsidRPr="00792DC5">
              <w:rPr>
                <w:rFonts w:ascii="Gill Sans MT" w:hAnsi="Gill Sans MT" w:cs="Calibri"/>
              </w:rPr>
              <w:t xml:space="preserve"> Worth noting in case you work with a young person in this position.</w:t>
            </w:r>
          </w:p>
          <w:p w14:paraId="57330D16" w14:textId="77777777" w:rsidR="00792DC5" w:rsidRPr="00792DC5" w:rsidRDefault="00792DC5" w:rsidP="002B056C">
            <w:pPr>
              <w:rPr>
                <w:rFonts w:ascii="Gill Sans MT" w:hAnsi="Gill Sans MT" w:cs="Calibri"/>
                <w:sz w:val="16"/>
                <w:szCs w:val="16"/>
              </w:rPr>
            </w:pPr>
          </w:p>
          <w:p w14:paraId="5C89DB75" w14:textId="77777777" w:rsidR="00792DC5" w:rsidRPr="00792DC5" w:rsidRDefault="00792DC5" w:rsidP="002B056C">
            <w:pPr>
              <w:rPr>
                <w:rFonts w:ascii="Gill Sans MT" w:hAnsi="Gill Sans MT" w:cs="Calibri"/>
                <w:b/>
                <w:bCs/>
              </w:rPr>
            </w:pPr>
            <w:r w:rsidRPr="00792DC5">
              <w:rPr>
                <w:rFonts w:ascii="Gill Sans MT" w:hAnsi="Gill Sans MT" w:cs="Calibri"/>
                <w:b/>
                <w:bCs/>
              </w:rPr>
              <w:t xml:space="preserve">Preventing radicalisation </w:t>
            </w:r>
          </w:p>
          <w:p w14:paraId="2FB508DF" w14:textId="77777777" w:rsidR="00792DC5" w:rsidRPr="00792DC5" w:rsidRDefault="00792DC5" w:rsidP="002B056C">
            <w:pPr>
              <w:rPr>
                <w:rFonts w:ascii="Gill Sans MT" w:hAnsi="Gill Sans MT" w:cs="Calibri"/>
              </w:rPr>
            </w:pPr>
            <w:r w:rsidRPr="00792DC5">
              <w:rPr>
                <w:rFonts w:ascii="Gill Sans MT" w:hAnsi="Gill Sans MT" w:cs="Calibri"/>
              </w:rPr>
              <w:t xml:space="preserve">In Annex B, a disclaimer has been added to outline that this section is still under review following the new definition of extremism released on 14th March 2024. Additional wording changes have been made to this section alongside clarification that “although there is no single way of identifying whether a child is likely to be susceptible to radicalisation into terrorism, there are factors that may indicate concern.” </w:t>
            </w:r>
          </w:p>
          <w:p w14:paraId="4F222608" w14:textId="77777777" w:rsidR="00792DC5" w:rsidRPr="00792DC5" w:rsidRDefault="00792DC5" w:rsidP="002B056C">
            <w:pPr>
              <w:rPr>
                <w:rFonts w:ascii="Gill Sans MT" w:hAnsi="Gill Sans MT" w:cs="Calibri"/>
                <w:sz w:val="16"/>
                <w:szCs w:val="16"/>
              </w:rPr>
            </w:pPr>
          </w:p>
          <w:p w14:paraId="6C19E4A2" w14:textId="77777777" w:rsidR="00792DC5" w:rsidRPr="00792DC5" w:rsidRDefault="00792DC5" w:rsidP="002B056C">
            <w:pPr>
              <w:rPr>
                <w:rFonts w:ascii="Gill Sans MT" w:hAnsi="Gill Sans MT" w:cs="Calibri"/>
              </w:rPr>
            </w:pPr>
            <w:r w:rsidRPr="00792DC5">
              <w:rPr>
                <w:rFonts w:ascii="Gill Sans MT" w:hAnsi="Gill Sans MT" w:cs="Calibri"/>
                <w:b/>
                <w:bCs/>
              </w:rPr>
              <w:t>Wording and minor definition changes</w:t>
            </w:r>
            <w:r w:rsidRPr="00792DC5">
              <w:rPr>
                <w:rFonts w:ascii="Gill Sans MT" w:hAnsi="Gill Sans MT" w:cs="Calibri"/>
              </w:rPr>
              <w:t xml:space="preserve"> </w:t>
            </w:r>
          </w:p>
          <w:p w14:paraId="386511FD" w14:textId="77777777" w:rsidR="00792DC5" w:rsidRPr="00792DC5" w:rsidRDefault="00792DC5" w:rsidP="002B056C">
            <w:pPr>
              <w:rPr>
                <w:rFonts w:ascii="Gill Sans MT" w:hAnsi="Gill Sans MT" w:cs="Calibri"/>
              </w:rPr>
            </w:pPr>
            <w:r w:rsidRPr="00792DC5">
              <w:rPr>
                <w:rFonts w:ascii="Gill Sans MT" w:hAnsi="Gill Sans MT" w:cs="Calibri"/>
              </w:rPr>
              <w:t xml:space="preserve">Several wording and minor definition changes occur in KCSIE 2024, including: </w:t>
            </w:r>
          </w:p>
          <w:p w14:paraId="186FE969" w14:textId="77777777" w:rsidR="00792DC5" w:rsidRPr="00792DC5" w:rsidRDefault="00792DC5" w:rsidP="002B056C">
            <w:pPr>
              <w:rPr>
                <w:rFonts w:ascii="Gill Sans MT" w:hAnsi="Gill Sans MT" w:cs="Calibri"/>
              </w:rPr>
            </w:pPr>
            <w:r w:rsidRPr="00792DC5">
              <w:rPr>
                <w:rFonts w:ascii="Gill Sans MT" w:hAnsi="Gill Sans MT" w:cs="Calibri"/>
              </w:rPr>
              <w:sym w:font="Symbol" w:char="F0B7"/>
            </w:r>
            <w:r w:rsidRPr="00792DC5">
              <w:rPr>
                <w:rFonts w:ascii="Gill Sans MT" w:hAnsi="Gill Sans MT" w:cs="Calibri"/>
              </w:rPr>
              <w:t xml:space="preserve"> Headings have been amended across KCSIE to reflect that pupils may experience “abuse, neglect and exploitation” rather than solely “abuse and neglect”. (Paragraph 19) </w:t>
            </w:r>
          </w:p>
          <w:p w14:paraId="185A1419" w14:textId="77777777" w:rsidR="00792DC5" w:rsidRPr="00792DC5" w:rsidRDefault="00792DC5" w:rsidP="002B056C">
            <w:pPr>
              <w:rPr>
                <w:rFonts w:ascii="Gill Sans MT" w:hAnsi="Gill Sans MT" w:cs="Calibri"/>
                <w:b/>
                <w:bCs/>
              </w:rPr>
            </w:pPr>
            <w:r w:rsidRPr="00792DC5">
              <w:rPr>
                <w:rFonts w:ascii="Gill Sans MT" w:hAnsi="Gill Sans MT" w:cs="Calibri"/>
              </w:rPr>
              <w:sym w:font="Symbol" w:char="F0B7"/>
            </w:r>
            <w:r w:rsidRPr="00792DC5">
              <w:rPr>
                <w:rFonts w:ascii="Gill Sans MT" w:hAnsi="Gill Sans MT" w:cs="Calibri"/>
              </w:rPr>
              <w:t xml:space="preserve"> The definition of abuse has been expanded slightly to emphasise </w:t>
            </w:r>
            <w:r w:rsidRPr="00792DC5">
              <w:rPr>
                <w:rFonts w:ascii="Gill Sans MT" w:hAnsi="Gill Sans MT" w:cs="Calibri"/>
                <w:b/>
                <w:bCs/>
              </w:rPr>
              <w:t>that witnessing ill treatment of others is harmful to children.</w:t>
            </w:r>
            <w:r w:rsidRPr="00792DC5">
              <w:rPr>
                <w:rFonts w:ascii="Gill Sans MT" w:hAnsi="Gill Sans MT" w:cs="Calibri"/>
              </w:rPr>
              <w:t xml:space="preserve"> </w:t>
            </w:r>
            <w:r w:rsidRPr="00792DC5">
              <w:rPr>
                <w:rFonts w:ascii="Gill Sans MT" w:hAnsi="Gill Sans MT" w:cs="Calibri"/>
                <w:b/>
                <w:bCs/>
              </w:rPr>
              <w:t>The paragraph makes references to the relevance of this in all forms of domestic abuse, including where children “see, hear or experience its effects”. (Paragraph 24)</w:t>
            </w:r>
          </w:p>
          <w:p w14:paraId="52C1CA57" w14:textId="77777777" w:rsidR="00792DC5" w:rsidRPr="00792DC5" w:rsidRDefault="00792DC5" w:rsidP="002B056C">
            <w:pPr>
              <w:rPr>
                <w:rFonts w:ascii="Gill Sans MT" w:hAnsi="Gill Sans MT" w:cs="Calibri"/>
              </w:rPr>
            </w:pPr>
            <w:r w:rsidRPr="00792DC5">
              <w:rPr>
                <w:rFonts w:ascii="Gill Sans MT" w:hAnsi="Gill Sans MT" w:cs="Calibri"/>
              </w:rPr>
              <w:t xml:space="preserve"> </w:t>
            </w:r>
            <w:r w:rsidRPr="00792DC5">
              <w:rPr>
                <w:rFonts w:ascii="Gill Sans MT" w:hAnsi="Gill Sans MT" w:cs="Calibri"/>
              </w:rPr>
              <w:sym w:font="Symbol" w:char="F0B7"/>
            </w:r>
            <w:r w:rsidRPr="00792DC5">
              <w:rPr>
                <w:rFonts w:ascii="Gill Sans MT" w:hAnsi="Gill Sans MT" w:cs="Calibri"/>
              </w:rPr>
              <w:t xml:space="preserve"> In the section called ‘safeguarding issues’ (which outlines the awareness of safeguarding issues that staff should have), the wording about absence has been changed. </w:t>
            </w:r>
            <w:r w:rsidRPr="00792DC5">
              <w:rPr>
                <w:rFonts w:ascii="Gill Sans MT" w:hAnsi="Gill Sans MT" w:cs="Calibri"/>
                <w:b/>
                <w:bCs/>
              </w:rPr>
              <w:t>The term “deliberately missing education” has been replaced with “unexplainable and/or persistent absences from education”.</w:t>
            </w:r>
            <w:r w:rsidRPr="00792DC5">
              <w:rPr>
                <w:rFonts w:ascii="Gill Sans MT" w:hAnsi="Gill Sans MT" w:cs="Calibri"/>
              </w:rPr>
              <w:t xml:space="preserve"> (Paragraph 31)</w:t>
            </w:r>
          </w:p>
          <w:p w14:paraId="6F7C3B7A" w14:textId="77777777" w:rsidR="00792DC5" w:rsidRPr="00792DC5" w:rsidRDefault="00792DC5" w:rsidP="002B056C">
            <w:pPr>
              <w:rPr>
                <w:rFonts w:ascii="Gill Sans MT" w:hAnsi="Gill Sans MT" w:cs="Calibri"/>
                <w:sz w:val="16"/>
                <w:szCs w:val="16"/>
              </w:rPr>
            </w:pPr>
          </w:p>
          <w:p w14:paraId="0C02A94A" w14:textId="77777777" w:rsidR="00792DC5" w:rsidRPr="00792DC5" w:rsidRDefault="00792DC5" w:rsidP="002B056C">
            <w:pPr>
              <w:rPr>
                <w:rFonts w:ascii="Gill Sans MT" w:hAnsi="Gill Sans MT" w:cs="Calibri"/>
              </w:rPr>
            </w:pPr>
            <w:r w:rsidRPr="00792DC5">
              <w:rPr>
                <w:rFonts w:ascii="Gill Sans MT" w:hAnsi="Gill Sans MT" w:cs="Calibri"/>
              </w:rPr>
              <w:t>Your Home-School Tutoring Area Advisor is the first point of contact for any member of the school staff who has a concern about the safety and well-being of a pupil. They should be available to discuss safeguarding concerns. If in exceptional circumstances, the Area Advisor is not available, this should not delay appropriate action being taken. Tutors should consider speaking to local children’s social care or phoning the police if a child is at risk of immediate harm. In these circumstances, any action taken should be shared with the Area Advisor as soon as is practically possible.</w:t>
            </w:r>
          </w:p>
          <w:p w14:paraId="5D2539FF" w14:textId="77777777" w:rsidR="00792DC5" w:rsidRPr="00792DC5" w:rsidRDefault="00792DC5" w:rsidP="002B056C">
            <w:pPr>
              <w:rPr>
                <w:rFonts w:ascii="Gill Sans MT" w:hAnsi="Gill Sans MT" w:cs="Calibri"/>
              </w:rPr>
            </w:pPr>
          </w:p>
          <w:p w14:paraId="782EDBBA" w14:textId="77777777" w:rsidR="00792DC5" w:rsidRPr="00792DC5" w:rsidRDefault="00792DC5" w:rsidP="002B056C">
            <w:pPr>
              <w:rPr>
                <w:rFonts w:ascii="Gill Sans MT" w:hAnsi="Gill Sans MT" w:cs="Calibri"/>
                <w:b/>
                <w:bCs/>
                <w:color w:val="657C9C" w:themeColor="text2" w:themeTint="BF"/>
                <w:sz w:val="32"/>
                <w:szCs w:val="32"/>
              </w:rPr>
            </w:pPr>
            <w:r w:rsidRPr="00792DC5">
              <w:rPr>
                <w:rFonts w:ascii="Gill Sans MT" w:hAnsi="Gill Sans MT" w:cs="Calibri"/>
              </w:rPr>
              <w:t>This briefing was based on: NSPCC Caspar Briefing: Keeping Children Safe in Education 2024 Summary of changes (</w:t>
            </w:r>
            <w:hyperlink r:id="rId8" w:history="1">
              <w:r w:rsidRPr="00792DC5">
                <w:rPr>
                  <w:rStyle w:val="Hyperlink"/>
                  <w:rFonts w:ascii="Gill Sans MT" w:hAnsi="Gill Sans MT" w:cs="Calibri"/>
                </w:rPr>
                <w:t>https://learning.nspcc.org.uk</w:t>
              </w:r>
            </w:hyperlink>
            <w:r w:rsidRPr="00792DC5">
              <w:rPr>
                <w:rFonts w:ascii="Gill Sans MT" w:hAnsi="Gill Sans MT" w:cs="Calibri"/>
              </w:rPr>
              <w:t xml:space="preserve">) </w:t>
            </w:r>
          </w:p>
        </w:tc>
      </w:tr>
    </w:tbl>
    <w:p w14:paraId="620F8543" w14:textId="77777777" w:rsidR="00792DC5" w:rsidRPr="00792DC5" w:rsidRDefault="00792DC5" w:rsidP="00792DC5">
      <w:pPr>
        <w:rPr>
          <w:rFonts w:ascii="Gill Sans MT" w:hAnsi="Gill Sans MT" w:cs="Calibri"/>
        </w:rPr>
      </w:pPr>
    </w:p>
    <w:p w14:paraId="08785314" w14:textId="77777777" w:rsidR="00792DC5" w:rsidRPr="00792DC5" w:rsidRDefault="00792DC5" w:rsidP="00792DC5">
      <w:pPr>
        <w:rPr>
          <w:rFonts w:ascii="Gill Sans MT" w:hAnsi="Gill Sans MT" w:cs="Calibri"/>
        </w:rPr>
      </w:pPr>
      <w:r w:rsidRPr="00792DC5">
        <w:rPr>
          <w:rFonts w:ascii="Gill Sans MT" w:hAnsi="Gill Sans MT" w:cs="Calibri"/>
        </w:rPr>
        <w:t>Home-School Tutoring UK Ltd September 2024.</w:t>
      </w:r>
    </w:p>
    <w:p w14:paraId="0B17E3C9" w14:textId="77777777" w:rsidR="00792DC5" w:rsidRPr="00792DC5" w:rsidRDefault="00792DC5" w:rsidP="00792DC5">
      <w:pPr>
        <w:rPr>
          <w:rFonts w:ascii="Gill Sans MT" w:hAnsi="Gill Sans MT"/>
        </w:rPr>
      </w:pPr>
    </w:p>
    <w:p w14:paraId="4CADBF68" w14:textId="77777777" w:rsidR="008E0356" w:rsidRDefault="008E0356"/>
    <w:sectPr w:rsidR="008E0356" w:rsidSect="00BD0C6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9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CE215" w14:textId="77777777" w:rsidR="00C01048" w:rsidRDefault="00C01048" w:rsidP="008E0356">
      <w:r>
        <w:separator/>
      </w:r>
    </w:p>
  </w:endnote>
  <w:endnote w:type="continuationSeparator" w:id="0">
    <w:p w14:paraId="0A467128" w14:textId="77777777" w:rsidR="00C01048" w:rsidRDefault="00C01048" w:rsidP="008E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mble">
    <w:altName w:val="Calibri"/>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300ED" w14:textId="77777777" w:rsidR="00DB6861" w:rsidRDefault="00DB6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2297E" w14:textId="78EB4AFE" w:rsidR="00F74D1D" w:rsidRPr="00092F78" w:rsidRDefault="00F74D1D" w:rsidP="00F74D1D">
    <w:pPr>
      <w:pBdr>
        <w:top w:val="nil"/>
        <w:left w:val="nil"/>
        <w:bottom w:val="nil"/>
        <w:right w:val="nil"/>
        <w:between w:val="nil"/>
      </w:pBdr>
      <w:tabs>
        <w:tab w:val="left" w:pos="4302"/>
      </w:tabs>
      <w:spacing w:before="96"/>
      <w:ind w:left="-709" w:firstLine="778"/>
      <w:jc w:val="center"/>
      <w:rPr>
        <w:rFonts w:ascii="Gill Sans MT" w:hAnsi="Gill Sans MT"/>
        <w:color w:val="000000"/>
        <w:sz w:val="22"/>
        <w:szCs w:val="22"/>
      </w:rPr>
    </w:pPr>
    <w:r w:rsidRPr="008E0356">
      <w:rPr>
        <w:noProof/>
      </w:rPr>
      <w:drawing>
        <wp:anchor distT="0" distB="0" distL="114300" distR="114300" simplePos="0" relativeHeight="251659264" behindDoc="1" locked="0" layoutInCell="1" allowOverlap="1" wp14:anchorId="68AB045D" wp14:editId="506090EE">
          <wp:simplePos x="0" y="0"/>
          <wp:positionH relativeFrom="column">
            <wp:posOffset>-91440</wp:posOffset>
          </wp:positionH>
          <wp:positionV relativeFrom="paragraph">
            <wp:posOffset>-465455</wp:posOffset>
          </wp:positionV>
          <wp:extent cx="5731510" cy="688340"/>
          <wp:effectExtent l="0" t="0" r="0" b="0"/>
          <wp:wrapNone/>
          <wp:docPr id="158018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82432" name=""/>
                  <pic:cNvPicPr/>
                </pic:nvPicPr>
                <pic:blipFill>
                  <a:blip r:embed="rId1">
                    <a:extLst>
                      <a:ext uri="{28A0092B-C50C-407E-A947-70E740481C1C}">
                        <a14:useLocalDpi xmlns:a14="http://schemas.microsoft.com/office/drawing/2010/main" val="0"/>
                      </a:ext>
                    </a:extLst>
                  </a:blip>
                  <a:stretch>
                    <a:fillRect/>
                  </a:stretch>
                </pic:blipFill>
                <pic:spPr>
                  <a:xfrm>
                    <a:off x="0" y="0"/>
                    <a:ext cx="5731510" cy="688340"/>
                  </a:xfrm>
                  <a:prstGeom prst="rect">
                    <a:avLst/>
                  </a:prstGeom>
                </pic:spPr>
              </pic:pic>
            </a:graphicData>
          </a:graphic>
          <wp14:sizeRelH relativeFrom="page">
            <wp14:pctWidth>0</wp14:pctWidth>
          </wp14:sizeRelH>
          <wp14:sizeRelV relativeFrom="page">
            <wp14:pctHeight>0</wp14:pctHeight>
          </wp14:sizeRelV>
        </wp:anchor>
      </w:drawing>
    </w:r>
    <w:r>
      <w:rPr>
        <w:color w:val="231F20"/>
        <w:sz w:val="14"/>
        <w:szCs w:val="14"/>
      </w:rPr>
      <w:br/>
    </w:r>
    <w:r w:rsidRPr="00092F78">
      <w:rPr>
        <w:rFonts w:ascii="Gill Sans MT" w:hAnsi="Gill Sans MT"/>
        <w:color w:val="231F20"/>
        <w:sz w:val="22"/>
        <w:szCs w:val="22"/>
      </w:rPr>
      <w:t xml:space="preserve"> Registered in England &amp; Wales - company number: </w:t>
    </w:r>
    <w:r w:rsidRPr="00092F78">
      <w:rPr>
        <w:rFonts w:ascii="Gill Sans MT" w:hAnsi="Gill Sans MT"/>
        <w:color w:val="3C3C3B"/>
        <w:sz w:val="22"/>
        <w:szCs w:val="22"/>
        <w:shd w:val="clear" w:color="auto" w:fill="FFFFFF"/>
      </w:rPr>
      <w:t>15456230</w:t>
    </w:r>
    <w:r w:rsidRPr="00092F78">
      <w:rPr>
        <w:rFonts w:ascii="Gill Sans MT" w:hAnsi="Gill Sans MT"/>
        <w:color w:val="231F20"/>
        <w:sz w:val="22"/>
        <w:szCs w:val="22"/>
      </w:rPr>
      <w:tab/>
      <w:t xml:space="preserve">VAT Registration Number </w:t>
    </w:r>
    <w:r w:rsidR="00DB6861">
      <w:rPr>
        <w:rFonts w:ascii="Gill Sans MT" w:hAnsi="Gill Sans MT"/>
        <w:color w:val="231F20"/>
        <w:sz w:val="22"/>
        <w:szCs w:val="22"/>
      </w:rPr>
      <w:t>460330724</w:t>
    </w:r>
  </w:p>
  <w:p w14:paraId="11A21113" w14:textId="75343CC6" w:rsidR="008E0356" w:rsidRDefault="008E03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ED96A" w14:textId="77777777" w:rsidR="00DB6861" w:rsidRDefault="00DB6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47534" w14:textId="77777777" w:rsidR="00C01048" w:rsidRDefault="00C01048" w:rsidP="008E0356">
      <w:r>
        <w:separator/>
      </w:r>
    </w:p>
  </w:footnote>
  <w:footnote w:type="continuationSeparator" w:id="0">
    <w:p w14:paraId="749B2770" w14:textId="77777777" w:rsidR="00C01048" w:rsidRDefault="00C01048" w:rsidP="008E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03EB2" w14:textId="77777777" w:rsidR="00DB6861" w:rsidRDefault="00DB6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265" w:type="dxa"/>
      <w:jc w:val="center"/>
      <w:tblBorders>
        <w:top w:val="nil"/>
        <w:left w:val="nil"/>
        <w:bottom w:val="nil"/>
        <w:right w:val="nil"/>
        <w:insideH w:val="nil"/>
        <w:insideV w:val="nil"/>
      </w:tblBorders>
      <w:tblLayout w:type="fixed"/>
      <w:tblLook w:val="0400" w:firstRow="0" w:lastRow="0" w:firstColumn="0" w:lastColumn="0" w:noHBand="0" w:noVBand="1"/>
    </w:tblPr>
    <w:tblGrid>
      <w:gridCol w:w="236"/>
      <w:gridCol w:w="1749"/>
      <w:gridCol w:w="4394"/>
      <w:gridCol w:w="4678"/>
      <w:gridCol w:w="208"/>
    </w:tblGrid>
    <w:tr w:rsidR="00F74D1D" w14:paraId="71E7383F" w14:textId="77777777" w:rsidTr="008456BA">
      <w:trPr>
        <w:gridAfter w:val="1"/>
        <w:wAfter w:w="208" w:type="dxa"/>
        <w:trHeight w:val="687"/>
        <w:jc w:val="center"/>
      </w:trPr>
      <w:tc>
        <w:tcPr>
          <w:tcW w:w="236" w:type="dxa"/>
          <w:vMerge w:val="restart"/>
        </w:tcPr>
        <w:p w14:paraId="0D01EEC5" w14:textId="77777777" w:rsidR="00F74D1D" w:rsidRDefault="00F74D1D" w:rsidP="00F74D1D">
          <w:pPr>
            <w:pBdr>
              <w:top w:val="nil"/>
              <w:left w:val="nil"/>
              <w:bottom w:val="nil"/>
              <w:right w:val="nil"/>
              <w:between w:val="nil"/>
            </w:pBdr>
            <w:tabs>
              <w:tab w:val="center" w:pos="4513"/>
              <w:tab w:val="right" w:pos="9026"/>
            </w:tabs>
            <w:rPr>
              <w:color w:val="000000"/>
            </w:rPr>
          </w:pPr>
        </w:p>
      </w:tc>
      <w:tc>
        <w:tcPr>
          <w:tcW w:w="10821" w:type="dxa"/>
          <w:gridSpan w:val="3"/>
        </w:tcPr>
        <w:p w14:paraId="1E31A72D" w14:textId="1A06A63D" w:rsidR="00F74D1D" w:rsidRPr="00092F78" w:rsidRDefault="00F74D1D" w:rsidP="00F74D1D">
          <w:pPr>
            <w:pStyle w:val="Header"/>
            <w:tabs>
              <w:tab w:val="clear" w:pos="9026"/>
            </w:tabs>
            <w:ind w:right="-613"/>
            <w:jc w:val="center"/>
            <w:rPr>
              <w:rFonts w:ascii="Gill Sans MT" w:hAnsi="Gill Sans MT"/>
              <w:b/>
              <w:bCs/>
              <w:color w:val="000000"/>
              <w:sz w:val="30"/>
              <w:szCs w:val="30"/>
            </w:rPr>
          </w:pPr>
          <w:r w:rsidRPr="00E432A4">
            <w:rPr>
              <w:noProof/>
            </w:rPr>
            <w:drawing>
              <wp:anchor distT="0" distB="0" distL="114300" distR="114300" simplePos="0" relativeHeight="251661312" behindDoc="0" locked="0" layoutInCell="1" allowOverlap="1" wp14:anchorId="50B9C53E" wp14:editId="01D0AF86">
                <wp:simplePos x="0" y="0"/>
                <wp:positionH relativeFrom="column">
                  <wp:posOffset>-141854</wp:posOffset>
                </wp:positionH>
                <wp:positionV relativeFrom="paragraph">
                  <wp:posOffset>-393756</wp:posOffset>
                </wp:positionV>
                <wp:extent cx="834887" cy="852651"/>
                <wp:effectExtent l="0" t="0" r="3810" b="0"/>
                <wp:wrapNone/>
                <wp:docPr id="159827192" name="Picture 1" descr="A logo of an owl on top of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27192" name="Picture 1" descr="A logo of an owl on top of book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4887" cy="852651"/>
                        </a:xfrm>
                        <a:prstGeom prst="rect">
                          <a:avLst/>
                        </a:prstGeom>
                      </pic:spPr>
                    </pic:pic>
                  </a:graphicData>
                </a:graphic>
                <wp14:sizeRelH relativeFrom="page">
                  <wp14:pctWidth>0</wp14:pctWidth>
                </wp14:sizeRelH>
                <wp14:sizeRelV relativeFrom="page">
                  <wp14:pctHeight>0</wp14:pctHeight>
                </wp14:sizeRelV>
              </wp:anchor>
            </w:drawing>
          </w:r>
          <w:r w:rsidR="008D6BFE">
            <w:rPr>
              <w:rStyle w:val="oypena"/>
              <w:rFonts w:ascii="Gill Sans MT" w:hAnsi="Gill Sans MT"/>
              <w:b/>
              <w:bCs/>
              <w:color w:val="000000"/>
              <w:sz w:val="32"/>
              <w:szCs w:val="32"/>
            </w:rPr>
            <w:t xml:space="preserve">  </w:t>
          </w:r>
          <w:r w:rsidRPr="00E432A4">
            <w:rPr>
              <w:rStyle w:val="oypena"/>
              <w:rFonts w:ascii="Gill Sans MT" w:hAnsi="Gill Sans MT"/>
              <w:b/>
              <w:bCs/>
              <w:color w:val="000000"/>
              <w:sz w:val="32"/>
              <w:szCs w:val="32"/>
            </w:rPr>
            <w:t>Home-School Tutoring Hertfordshire &amp; Cambridgeshire</w:t>
          </w:r>
          <w:r w:rsidR="008D6BFE">
            <w:rPr>
              <w:rStyle w:val="oypena"/>
              <w:rFonts w:ascii="Gill Sans MT" w:hAnsi="Gill Sans MT"/>
              <w:b/>
              <w:bCs/>
              <w:color w:val="000000"/>
              <w:sz w:val="32"/>
              <w:szCs w:val="32"/>
            </w:rPr>
            <w:t xml:space="preserve"> Ltd</w:t>
          </w:r>
        </w:p>
      </w:tc>
    </w:tr>
    <w:tr w:rsidR="00F74D1D" w:rsidRPr="00092F78" w14:paraId="7B394DEE" w14:textId="77777777" w:rsidTr="008456BA">
      <w:trPr>
        <w:gridAfter w:val="1"/>
        <w:wAfter w:w="208" w:type="dxa"/>
        <w:trHeight w:val="355"/>
        <w:jc w:val="center"/>
      </w:trPr>
      <w:tc>
        <w:tcPr>
          <w:tcW w:w="236" w:type="dxa"/>
          <w:vMerge/>
        </w:tcPr>
        <w:p w14:paraId="4E65ACFE" w14:textId="77777777" w:rsidR="00F74D1D" w:rsidRDefault="00F74D1D" w:rsidP="00F74D1D">
          <w:pPr>
            <w:pBdr>
              <w:top w:val="nil"/>
              <w:left w:val="nil"/>
              <w:bottom w:val="nil"/>
              <w:right w:val="nil"/>
              <w:between w:val="nil"/>
            </w:pBdr>
            <w:spacing w:line="276" w:lineRule="auto"/>
            <w:rPr>
              <w:rFonts w:ascii="Amble" w:eastAsia="Amble" w:hAnsi="Amble" w:cs="Amble"/>
            </w:rPr>
          </w:pPr>
        </w:p>
      </w:tc>
      <w:tc>
        <w:tcPr>
          <w:tcW w:w="10821" w:type="dxa"/>
          <w:gridSpan w:val="3"/>
          <w:vAlign w:val="center"/>
        </w:tcPr>
        <w:p w14:paraId="2DAA5987" w14:textId="77777777" w:rsidR="00F74D1D" w:rsidRPr="00092F78" w:rsidRDefault="00F74D1D" w:rsidP="00F74D1D">
          <w:pPr>
            <w:spacing w:before="71"/>
            <w:ind w:right="738"/>
            <w:rPr>
              <w:rFonts w:ascii="Gill Sans MT" w:eastAsia="Amble" w:hAnsi="Gill Sans MT" w:cs="Amble"/>
              <w:sz w:val="22"/>
              <w:szCs w:val="22"/>
            </w:rPr>
          </w:pPr>
          <w:r w:rsidRPr="00092F78">
            <w:rPr>
              <w:rFonts w:ascii="Gill Sans MT" w:eastAsia="Amble" w:hAnsi="Gill Sans MT" w:cs="Amble"/>
              <w:sz w:val="22"/>
              <w:szCs w:val="22"/>
            </w:rPr>
            <w:t xml:space="preserve">Area Advisor: Sarah Jones </w:t>
          </w:r>
        </w:p>
      </w:tc>
    </w:tr>
    <w:tr w:rsidR="00F74D1D" w14:paraId="7B2DC754" w14:textId="77777777" w:rsidTr="008456BA">
      <w:trPr>
        <w:trHeight w:val="368"/>
        <w:jc w:val="center"/>
      </w:trPr>
      <w:tc>
        <w:tcPr>
          <w:tcW w:w="236" w:type="dxa"/>
          <w:vMerge/>
        </w:tcPr>
        <w:p w14:paraId="606FA503" w14:textId="77777777" w:rsidR="00F74D1D" w:rsidRDefault="00F74D1D" w:rsidP="00F74D1D">
          <w:pPr>
            <w:pBdr>
              <w:top w:val="nil"/>
              <w:left w:val="nil"/>
              <w:bottom w:val="nil"/>
              <w:right w:val="nil"/>
              <w:between w:val="nil"/>
            </w:pBdr>
            <w:spacing w:line="276" w:lineRule="auto"/>
            <w:rPr>
              <w:rFonts w:ascii="Amble" w:eastAsia="Amble" w:hAnsi="Amble" w:cs="Amble"/>
            </w:rPr>
          </w:pPr>
        </w:p>
      </w:tc>
      <w:tc>
        <w:tcPr>
          <w:tcW w:w="1749" w:type="dxa"/>
          <w:vAlign w:val="center"/>
        </w:tcPr>
        <w:p w14:paraId="361A402D" w14:textId="77777777" w:rsidR="00F74D1D" w:rsidRPr="00F74D1D" w:rsidRDefault="00F74D1D" w:rsidP="00F74D1D">
          <w:pPr>
            <w:tabs>
              <w:tab w:val="left" w:pos="4231"/>
            </w:tabs>
            <w:spacing w:before="99" w:line="333" w:lineRule="auto"/>
            <w:ind w:firstLine="18"/>
            <w:rPr>
              <w:rFonts w:ascii="Gill Sans MT" w:hAnsi="Gill Sans MT"/>
              <w:color w:val="000000" w:themeColor="text1"/>
              <w:sz w:val="22"/>
              <w:szCs w:val="22"/>
            </w:rPr>
          </w:pPr>
          <w:r w:rsidRPr="00F74D1D">
            <w:rPr>
              <w:rFonts w:ascii="Gill Sans MT" w:hAnsi="Gill Sans MT"/>
              <w:noProof/>
              <w:color w:val="000000" w:themeColor="text1"/>
              <w:sz w:val="22"/>
              <w:szCs w:val="22"/>
            </w:rPr>
            <w:drawing>
              <wp:inline distT="0" distB="0" distL="0" distR="0" wp14:anchorId="3DEA4C8B" wp14:editId="6087586C">
                <wp:extent cx="78447" cy="142544"/>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
                        <a:srcRect/>
                        <a:stretch>
                          <a:fillRect/>
                        </a:stretch>
                      </pic:blipFill>
                      <pic:spPr>
                        <a:xfrm>
                          <a:off x="0" y="0"/>
                          <a:ext cx="78447" cy="142544"/>
                        </a:xfrm>
                        <a:prstGeom prst="rect">
                          <a:avLst/>
                        </a:prstGeom>
                        <a:ln/>
                      </pic:spPr>
                    </pic:pic>
                  </a:graphicData>
                </a:graphic>
              </wp:inline>
            </w:drawing>
          </w:r>
          <w:r w:rsidRPr="00F74D1D">
            <w:rPr>
              <w:rFonts w:ascii="Gill Sans MT" w:eastAsia="Times New Roman" w:hAnsi="Gill Sans MT" w:cs="Times New Roman"/>
              <w:color w:val="000000" w:themeColor="text1"/>
              <w:sz w:val="22"/>
              <w:szCs w:val="22"/>
            </w:rPr>
            <w:t xml:space="preserve"> </w:t>
          </w:r>
          <w:r w:rsidRPr="00F74D1D">
            <w:rPr>
              <w:rFonts w:ascii="Gill Sans MT" w:eastAsia="Amble" w:hAnsi="Gill Sans MT" w:cs="Amble"/>
              <w:color w:val="000000" w:themeColor="text1"/>
              <w:sz w:val="22"/>
              <w:szCs w:val="22"/>
            </w:rPr>
            <w:t>07519353503</w:t>
          </w:r>
        </w:p>
      </w:tc>
      <w:tc>
        <w:tcPr>
          <w:tcW w:w="4394" w:type="dxa"/>
          <w:vAlign w:val="center"/>
        </w:tcPr>
        <w:p w14:paraId="281CE141" w14:textId="77777777" w:rsidR="00F74D1D" w:rsidRPr="00F74D1D" w:rsidRDefault="00F74D1D" w:rsidP="00F74D1D">
          <w:pPr>
            <w:pBdr>
              <w:top w:val="nil"/>
              <w:left w:val="nil"/>
              <w:bottom w:val="nil"/>
              <w:right w:val="nil"/>
              <w:between w:val="nil"/>
            </w:pBdr>
            <w:tabs>
              <w:tab w:val="center" w:pos="4513"/>
              <w:tab w:val="right" w:pos="9026"/>
            </w:tabs>
            <w:ind w:left="-106" w:right="-252"/>
            <w:rPr>
              <w:rFonts w:ascii="Gill Sans MT" w:eastAsia="Amble" w:hAnsi="Gill Sans MT" w:cs="Amble"/>
              <w:color w:val="000000" w:themeColor="text1"/>
              <w:sz w:val="22"/>
              <w:szCs w:val="22"/>
            </w:rPr>
          </w:pPr>
          <w:r w:rsidRPr="00F74D1D">
            <w:rPr>
              <w:rFonts w:ascii="Gill Sans MT" w:eastAsia="Amble" w:hAnsi="Gill Sans MT" w:cs="Amble"/>
              <w:noProof/>
              <w:color w:val="000000" w:themeColor="text1"/>
              <w:sz w:val="22"/>
              <w:szCs w:val="22"/>
            </w:rPr>
            <w:drawing>
              <wp:inline distT="0" distB="0" distL="0" distR="0" wp14:anchorId="4358159B" wp14:editId="2541A424">
                <wp:extent cx="145453" cy="94703"/>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45453" cy="94703"/>
                        </a:xfrm>
                        <a:prstGeom prst="rect">
                          <a:avLst/>
                        </a:prstGeom>
                        <a:ln/>
                      </pic:spPr>
                    </pic:pic>
                  </a:graphicData>
                </a:graphic>
              </wp:inline>
            </w:drawing>
          </w:r>
          <w:r w:rsidRPr="00F74D1D">
            <w:rPr>
              <w:rFonts w:ascii="Gill Sans MT" w:eastAsia="Amble" w:hAnsi="Gill Sans MT" w:cs="Amble"/>
              <w:color w:val="000000" w:themeColor="text1"/>
              <w:sz w:val="22"/>
              <w:szCs w:val="22"/>
            </w:rPr>
            <w:t xml:space="preserve"> </w:t>
          </w:r>
          <w:hyperlink r:id="rId4" w:history="1">
            <w:r w:rsidRPr="00F74D1D">
              <w:rPr>
                <w:rStyle w:val="Hyperlink"/>
                <w:rFonts w:ascii="Gill Sans MT" w:eastAsia="Amble" w:hAnsi="Gill Sans MT" w:cs="Amble"/>
                <w:color w:val="000000" w:themeColor="text1"/>
                <w:sz w:val="22"/>
                <w:szCs w:val="22"/>
                <w:u w:val="none"/>
              </w:rPr>
              <w:t>sarah@homeschooltutoringhertscambs.co.uk</w:t>
            </w:r>
          </w:hyperlink>
        </w:p>
      </w:tc>
      <w:tc>
        <w:tcPr>
          <w:tcW w:w="4886" w:type="dxa"/>
          <w:gridSpan w:val="2"/>
          <w:vAlign w:val="center"/>
        </w:tcPr>
        <w:p w14:paraId="76FA4B75" w14:textId="77777777" w:rsidR="00F74D1D" w:rsidRPr="00092F78" w:rsidRDefault="00F74D1D" w:rsidP="00F74D1D">
          <w:pPr>
            <w:pBdr>
              <w:top w:val="nil"/>
              <w:left w:val="nil"/>
              <w:bottom w:val="nil"/>
              <w:right w:val="nil"/>
              <w:between w:val="nil"/>
            </w:pBdr>
            <w:tabs>
              <w:tab w:val="center" w:pos="4513"/>
              <w:tab w:val="right" w:pos="9026"/>
            </w:tabs>
            <w:ind w:left="172"/>
            <w:rPr>
              <w:rFonts w:ascii="Gill Sans MT" w:hAnsi="Gill Sans MT"/>
              <w:color w:val="000000" w:themeColor="text1"/>
              <w:sz w:val="22"/>
              <w:szCs w:val="22"/>
            </w:rPr>
          </w:pPr>
          <w:r w:rsidRPr="00092F78">
            <w:rPr>
              <w:rFonts w:ascii="Gill Sans MT" w:hAnsi="Gill Sans MT"/>
              <w:noProof/>
              <w:color w:val="000000" w:themeColor="text1"/>
              <w:sz w:val="22"/>
              <w:szCs w:val="22"/>
            </w:rPr>
            <w:drawing>
              <wp:inline distT="0" distB="0" distL="0" distR="0" wp14:anchorId="6242C1D5" wp14:editId="3612F088">
                <wp:extent cx="125895" cy="11936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125895" cy="119367"/>
                        </a:xfrm>
                        <a:prstGeom prst="rect">
                          <a:avLst/>
                        </a:prstGeom>
                        <a:ln/>
                      </pic:spPr>
                    </pic:pic>
                  </a:graphicData>
                </a:graphic>
              </wp:inline>
            </w:drawing>
          </w:r>
          <w:r w:rsidRPr="00092F78">
            <w:rPr>
              <w:rFonts w:ascii="Gill Sans MT" w:hAnsi="Gill Sans MT"/>
              <w:color w:val="000000" w:themeColor="text1"/>
              <w:sz w:val="22"/>
              <w:szCs w:val="22"/>
            </w:rPr>
            <w:t xml:space="preserve"> www.homeschooltutoringhertscambs.co.uk</w:t>
          </w:r>
        </w:p>
      </w:tc>
    </w:tr>
    <w:tr w:rsidR="00F74D1D" w14:paraId="07CBD8FF" w14:textId="77777777" w:rsidTr="008456BA">
      <w:trPr>
        <w:gridAfter w:val="1"/>
        <w:wAfter w:w="208" w:type="dxa"/>
        <w:trHeight w:val="330"/>
        <w:jc w:val="center"/>
      </w:trPr>
      <w:tc>
        <w:tcPr>
          <w:tcW w:w="236" w:type="dxa"/>
          <w:vMerge/>
        </w:tcPr>
        <w:p w14:paraId="2644DD13" w14:textId="77777777" w:rsidR="00F74D1D" w:rsidRDefault="00F74D1D" w:rsidP="00F74D1D">
          <w:pPr>
            <w:pBdr>
              <w:top w:val="nil"/>
              <w:left w:val="nil"/>
              <w:bottom w:val="nil"/>
              <w:right w:val="nil"/>
              <w:between w:val="nil"/>
            </w:pBdr>
            <w:spacing w:line="276" w:lineRule="auto"/>
            <w:rPr>
              <w:color w:val="000000"/>
            </w:rPr>
          </w:pPr>
        </w:p>
      </w:tc>
      <w:tc>
        <w:tcPr>
          <w:tcW w:w="10821" w:type="dxa"/>
          <w:gridSpan w:val="3"/>
        </w:tcPr>
        <w:p w14:paraId="3AE1E99C" w14:textId="638F17DF" w:rsidR="00F74D1D" w:rsidRDefault="00F74D1D" w:rsidP="00F74D1D">
          <w:pPr>
            <w:pBdr>
              <w:top w:val="nil"/>
              <w:left w:val="nil"/>
              <w:bottom w:val="nil"/>
              <w:right w:val="nil"/>
              <w:between w:val="nil"/>
            </w:pBdr>
            <w:tabs>
              <w:tab w:val="center" w:pos="4513"/>
              <w:tab w:val="right" w:pos="9026"/>
            </w:tabs>
            <w:rPr>
              <w:rFonts w:ascii="Amble" w:eastAsia="Amble" w:hAnsi="Amble" w:cs="Amble"/>
              <w:color w:val="000000"/>
            </w:rPr>
          </w:pPr>
          <w:r>
            <w:rPr>
              <w:noProof/>
              <w:color w:val="000000"/>
            </w:rPr>
            <mc:AlternateContent>
              <mc:Choice Requires="wps">
                <w:drawing>
                  <wp:anchor distT="0" distB="0" distL="114300" distR="114300" simplePos="0" relativeHeight="251662336" behindDoc="0" locked="0" layoutInCell="1" allowOverlap="1" wp14:anchorId="0FA25751" wp14:editId="443F50EF">
                    <wp:simplePos x="0" y="0"/>
                    <wp:positionH relativeFrom="column">
                      <wp:posOffset>-622759</wp:posOffset>
                    </wp:positionH>
                    <wp:positionV relativeFrom="paragraph">
                      <wp:posOffset>75860</wp:posOffset>
                    </wp:positionV>
                    <wp:extent cx="7769955" cy="0"/>
                    <wp:effectExtent l="0" t="12700" r="15240" b="12700"/>
                    <wp:wrapNone/>
                    <wp:docPr id="990641103" name="Straight Connector 1"/>
                    <wp:cNvGraphicFramePr/>
                    <a:graphic xmlns:a="http://schemas.openxmlformats.org/drawingml/2006/main">
                      <a:graphicData uri="http://schemas.microsoft.com/office/word/2010/wordprocessingShape">
                        <wps:wsp>
                          <wps:cNvCnPr/>
                          <wps:spPr>
                            <a:xfrm>
                              <a:off x="0" y="0"/>
                              <a:ext cx="7769955" cy="0"/>
                            </a:xfrm>
                            <a:prstGeom prst="line">
                              <a:avLst/>
                            </a:prstGeom>
                            <a:ln w="22225">
                              <a:solidFill>
                                <a:srgbClr val="1FADB5"/>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F050B8"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05pt,5.95pt" to="562.75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" strokecolor="#1fadb5" strokeweight="1.75pt">
                    <v:stroke joinstyle="miter"/>
                  </v:line>
                </w:pict>
              </mc:Fallback>
            </mc:AlternateContent>
          </w:r>
          <w:r>
            <w:rPr>
              <w:noProof/>
              <w:color w:val="000000"/>
            </w:rPr>
            <mc:AlternateContent>
              <mc:Choice Requires="wps">
                <w:drawing>
                  <wp:anchor distT="0" distB="0" distL="114300" distR="114300" simplePos="0" relativeHeight="251664384" behindDoc="0" locked="0" layoutInCell="1" allowOverlap="1" wp14:anchorId="1BB4F29B" wp14:editId="38E00445">
                    <wp:simplePos x="0" y="0"/>
                    <wp:positionH relativeFrom="column">
                      <wp:posOffset>-464185</wp:posOffset>
                    </wp:positionH>
                    <wp:positionV relativeFrom="paragraph">
                      <wp:posOffset>100330</wp:posOffset>
                    </wp:positionV>
                    <wp:extent cx="7730555" cy="0"/>
                    <wp:effectExtent l="0" t="12700" r="16510" b="12700"/>
                    <wp:wrapNone/>
                    <wp:docPr id="1256997606" name="Straight Connector 1"/>
                    <wp:cNvGraphicFramePr/>
                    <a:graphic xmlns:a="http://schemas.openxmlformats.org/drawingml/2006/main">
                      <a:graphicData uri="http://schemas.microsoft.com/office/word/2010/wordprocessingShape">
                        <wps:wsp>
                          <wps:cNvCnPr/>
                          <wps:spPr>
                            <a:xfrm>
                              <a:off x="0" y="0"/>
                              <a:ext cx="7730555" cy="0"/>
                            </a:xfrm>
                            <a:prstGeom prst="line">
                              <a:avLst/>
                            </a:prstGeom>
                            <a:ln w="22225">
                              <a:solidFill>
                                <a:schemeClr val="accent1">
                                  <a:lumMod val="75000"/>
                                </a:schemeClr>
                              </a:solidFill>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C0F3B36"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55pt,7.9pt" to="572.15pt,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" strokecolor="#2f5496 [2404]" strokeweight="1.75pt">
                    <v:stroke joinstyle="miter"/>
                  </v:line>
                </w:pict>
              </mc:Fallback>
            </mc:AlternateContent>
          </w:r>
        </w:p>
      </w:tc>
    </w:tr>
  </w:tbl>
  <w:p w14:paraId="32506184" w14:textId="218F2FE2" w:rsidR="00F74D1D" w:rsidRDefault="00F74D1D" w:rsidP="00F74D1D">
    <w:pPr>
      <w:pBdr>
        <w:top w:val="nil"/>
        <w:left w:val="nil"/>
        <w:bottom w:val="nil"/>
        <w:right w:val="nil"/>
        <w:between w:val="nil"/>
      </w:pBdr>
      <w:tabs>
        <w:tab w:val="center" w:pos="4513"/>
        <w:tab w:val="right" w:pos="9026"/>
      </w:tabs>
      <w:rPr>
        <w:color w:val="000000"/>
      </w:rPr>
    </w:pPr>
  </w:p>
  <w:p w14:paraId="4870177E" w14:textId="6A92638C" w:rsidR="008E0356" w:rsidRPr="00F74D1D" w:rsidRDefault="008E0356" w:rsidP="00F74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1A278" w14:textId="77777777" w:rsidR="00DB6861" w:rsidRDefault="00DB6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EB6F06"/>
    <w:multiLevelType w:val="hybridMultilevel"/>
    <w:tmpl w:val="E7F2BF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149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56"/>
    <w:rsid w:val="0023578F"/>
    <w:rsid w:val="00275556"/>
    <w:rsid w:val="004743FD"/>
    <w:rsid w:val="005562A1"/>
    <w:rsid w:val="00792DC5"/>
    <w:rsid w:val="007947CC"/>
    <w:rsid w:val="008D6BFE"/>
    <w:rsid w:val="008E0356"/>
    <w:rsid w:val="00927B72"/>
    <w:rsid w:val="00BD0C6D"/>
    <w:rsid w:val="00C01048"/>
    <w:rsid w:val="00DB6861"/>
    <w:rsid w:val="00E432A4"/>
    <w:rsid w:val="00F74D1D"/>
    <w:rsid w:val="00FC6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01D64"/>
  <w15:chartTrackingRefBased/>
  <w15:docId w15:val="{BF08285A-2C1F-234F-9437-D0E8AFF8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356"/>
    <w:pPr>
      <w:tabs>
        <w:tab w:val="center" w:pos="4513"/>
        <w:tab w:val="right" w:pos="9026"/>
      </w:tabs>
    </w:pPr>
  </w:style>
  <w:style w:type="character" w:customStyle="1" w:styleId="HeaderChar">
    <w:name w:val="Header Char"/>
    <w:basedOn w:val="DefaultParagraphFont"/>
    <w:link w:val="Header"/>
    <w:uiPriority w:val="99"/>
    <w:rsid w:val="008E0356"/>
  </w:style>
  <w:style w:type="paragraph" w:styleId="Footer">
    <w:name w:val="footer"/>
    <w:basedOn w:val="Normal"/>
    <w:link w:val="FooterChar"/>
    <w:uiPriority w:val="99"/>
    <w:unhideWhenUsed/>
    <w:rsid w:val="008E0356"/>
    <w:pPr>
      <w:tabs>
        <w:tab w:val="center" w:pos="4513"/>
        <w:tab w:val="right" w:pos="9026"/>
      </w:tabs>
    </w:pPr>
  </w:style>
  <w:style w:type="character" w:customStyle="1" w:styleId="FooterChar">
    <w:name w:val="Footer Char"/>
    <w:basedOn w:val="DefaultParagraphFont"/>
    <w:link w:val="Footer"/>
    <w:uiPriority w:val="99"/>
    <w:rsid w:val="008E0356"/>
  </w:style>
  <w:style w:type="character" w:customStyle="1" w:styleId="oypena">
    <w:name w:val="oypena"/>
    <w:basedOn w:val="DefaultParagraphFont"/>
    <w:rsid w:val="00E432A4"/>
  </w:style>
  <w:style w:type="character" w:styleId="Hyperlink">
    <w:name w:val="Hyperlink"/>
    <w:basedOn w:val="DefaultParagraphFont"/>
    <w:uiPriority w:val="99"/>
    <w:unhideWhenUsed/>
    <w:rsid w:val="00F74D1D"/>
    <w:rPr>
      <w:color w:val="0563C1" w:themeColor="hyperlink"/>
      <w:u w:val="single"/>
    </w:rPr>
  </w:style>
  <w:style w:type="character" w:styleId="FollowedHyperlink">
    <w:name w:val="FollowedHyperlink"/>
    <w:basedOn w:val="DefaultParagraphFont"/>
    <w:uiPriority w:val="99"/>
    <w:semiHidden/>
    <w:unhideWhenUsed/>
    <w:rsid w:val="00F74D1D"/>
    <w:rPr>
      <w:color w:val="954F72" w:themeColor="followedHyperlink"/>
      <w:u w:val="single"/>
    </w:rPr>
  </w:style>
  <w:style w:type="paragraph" w:styleId="ListParagraph">
    <w:name w:val="List Paragraph"/>
    <w:basedOn w:val="Normal"/>
    <w:uiPriority w:val="34"/>
    <w:qFormat/>
    <w:rsid w:val="00792DC5"/>
    <w:pPr>
      <w:spacing w:after="160" w:line="278" w:lineRule="auto"/>
      <w:ind w:left="720"/>
      <w:contextualSpacing/>
    </w:pPr>
  </w:style>
  <w:style w:type="table" w:styleId="TableGrid">
    <w:name w:val="Table Grid"/>
    <w:basedOn w:val="TableNormal"/>
    <w:uiPriority w:val="39"/>
    <w:rsid w:val="00792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nspcc.org.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hyperlink" Target="mailto:sarah@homeschooltutoringhertscamb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Jones</dc:creator>
  <cp:keywords/>
  <dc:description/>
  <cp:lastModifiedBy>Sarah Jones</cp:lastModifiedBy>
  <cp:revision>2</cp:revision>
  <cp:lastPrinted>2023-09-21T14:07:00Z</cp:lastPrinted>
  <dcterms:created xsi:type="dcterms:W3CDTF">2024-10-28T15:03:00Z</dcterms:created>
  <dcterms:modified xsi:type="dcterms:W3CDTF">2024-10-28T15:03:00Z</dcterms:modified>
</cp:coreProperties>
</file>